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PWMP6GJ7R9A0V9GQKR8PL0S7ZQMO7GRES0XTJDWXGORTQLT68BRYC0QFSVHPC8RXEMXSOZ8ZIA78IEJEFFADF8H89CMWILBAOOOIHB3262A55E8E2EE7AEA20474750FF8E91A3" Type="http://schemas.microsoft.com/office/2006/relationships/officeDocumentMain" Target="NULL"/><Relationship Id="DPWMR6BA79TQ06TGRYR8ZL057ZC0O7GR9J0XNJEOXGORTGCTZ7BRKC0QFY5HPD6RXNMXEOZ8ZI778IJJRUFADF8H89QMWI5BBSOOPHB37A93ECE318AE0F0ED12571340E18F293"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DBE" w:rsidRDefault="000B4DBE" w:rsidP="000B4DBE">
      <w:pPr>
        <w:jc w:val="center"/>
        <w:outlineLvl w:val="0"/>
        <w:rPr>
          <w:rFonts w:ascii="方正小标宋简体" w:eastAsia="方正小标宋简体" w:hAnsiTheme="majorEastAsia"/>
          <w:sz w:val="44"/>
          <w:szCs w:val="44"/>
        </w:rPr>
      </w:pPr>
      <w:bookmarkStart w:id="0" w:name="_GoBack"/>
      <w:r w:rsidRPr="00C50085">
        <w:rPr>
          <w:rFonts w:ascii="方正小标宋简体" w:eastAsia="方正小标宋简体" w:hAnsiTheme="majorEastAsia" w:hint="eastAsia"/>
          <w:sz w:val="44"/>
          <w:szCs w:val="44"/>
        </w:rPr>
        <w:t>深交所投教丨基础设施公募REITs业务之基金交易ABC（二）</w:t>
      </w:r>
    </w:p>
    <w:p w:rsidR="000B4DBE" w:rsidRPr="00DD6A7C" w:rsidRDefault="000B4DBE" w:rsidP="000B4DBE">
      <w:pPr>
        <w:rPr>
          <w:rFonts w:ascii="仿宋" w:eastAsia="仿宋" w:hAnsi="仿宋"/>
          <w:b/>
          <w:sz w:val="32"/>
          <w:szCs w:val="32"/>
        </w:rPr>
      </w:pPr>
    </w:p>
    <w:p w:rsidR="000B4DBE" w:rsidRPr="00DD6A7C" w:rsidRDefault="000B4DBE" w:rsidP="000B4DBE">
      <w:pPr>
        <w:rPr>
          <w:rFonts w:ascii="仿宋" w:eastAsia="仿宋" w:hAnsi="仿宋"/>
          <w:b/>
          <w:sz w:val="32"/>
          <w:szCs w:val="32"/>
        </w:rPr>
      </w:pPr>
      <w:r w:rsidRPr="00DD6A7C">
        <w:rPr>
          <w:rFonts w:ascii="仿宋" w:eastAsia="仿宋" w:hAnsi="仿宋" w:hint="eastAsia"/>
          <w:b/>
          <w:sz w:val="32"/>
          <w:szCs w:val="32"/>
        </w:rPr>
        <w:t>编者按：为帮助投资者充分了解基础设施公募</w:t>
      </w:r>
      <w:r w:rsidRPr="00DD6A7C">
        <w:rPr>
          <w:rFonts w:ascii="仿宋" w:eastAsia="仿宋" w:hAnsi="仿宋"/>
          <w:b/>
          <w:sz w:val="32"/>
          <w:szCs w:val="32"/>
        </w:rPr>
        <w:t>REITs业务相关规则，深交所投教中心特别推出基础设施公募REITs系列解读文章。本篇为第</w:t>
      </w:r>
      <w:r>
        <w:rPr>
          <w:rFonts w:ascii="仿宋" w:eastAsia="仿宋" w:hAnsi="仿宋" w:hint="eastAsia"/>
          <w:b/>
          <w:sz w:val="32"/>
          <w:szCs w:val="32"/>
        </w:rPr>
        <w:t>七</w:t>
      </w:r>
      <w:r w:rsidRPr="00DD6A7C">
        <w:rPr>
          <w:rFonts w:ascii="仿宋" w:eastAsia="仿宋" w:hAnsi="仿宋"/>
          <w:b/>
          <w:sz w:val="32"/>
          <w:szCs w:val="32"/>
        </w:rPr>
        <w:t>篇，主要介绍基础设施公募REITs</w:t>
      </w:r>
      <w:r w:rsidRPr="007E268C">
        <w:rPr>
          <w:rFonts w:ascii="仿宋" w:eastAsia="仿宋" w:hAnsi="仿宋" w:hint="eastAsia"/>
          <w:b/>
          <w:sz w:val="32"/>
          <w:szCs w:val="32"/>
        </w:rPr>
        <w:t>基金交易</w:t>
      </w:r>
      <w:r>
        <w:rPr>
          <w:rFonts w:ascii="仿宋" w:eastAsia="仿宋" w:hAnsi="仿宋" w:hint="eastAsia"/>
          <w:b/>
          <w:sz w:val="32"/>
          <w:szCs w:val="32"/>
        </w:rPr>
        <w:t>事项</w:t>
      </w:r>
      <w:r w:rsidRPr="00DD6A7C">
        <w:rPr>
          <w:rFonts w:ascii="仿宋" w:eastAsia="仿宋" w:hAnsi="仿宋" w:hint="eastAsia"/>
          <w:b/>
          <w:sz w:val="32"/>
          <w:szCs w:val="32"/>
        </w:rPr>
        <w:t>，一起来看看。</w:t>
      </w:r>
    </w:p>
    <w:p w:rsidR="000B4DBE" w:rsidRPr="00C50085" w:rsidRDefault="000B4DBE" w:rsidP="000B4DBE">
      <w:pPr>
        <w:rPr>
          <w:rFonts w:ascii="仿宋" w:eastAsia="仿宋" w:hAnsi="仿宋"/>
          <w:b/>
          <w:sz w:val="32"/>
          <w:szCs w:val="32"/>
        </w:rPr>
      </w:pPr>
    </w:p>
    <w:p w:rsidR="000B4DBE" w:rsidRPr="00C50085" w:rsidRDefault="000B4DBE" w:rsidP="0000396A">
      <w:pPr>
        <w:pStyle w:val="a9"/>
        <w:numPr>
          <w:ilvl w:val="0"/>
          <w:numId w:val="2"/>
        </w:numPr>
        <w:ind w:firstLineChars="0"/>
        <w:outlineLvl w:val="1"/>
        <w:rPr>
          <w:rFonts w:ascii="仿宋" w:eastAsia="仿宋" w:hAnsi="仿宋"/>
          <w:b/>
          <w:sz w:val="32"/>
          <w:szCs w:val="32"/>
        </w:rPr>
      </w:pPr>
      <w:r w:rsidRPr="00C50085">
        <w:rPr>
          <w:rFonts w:ascii="仿宋" w:eastAsia="仿宋" w:hAnsi="仿宋" w:hint="eastAsia"/>
          <w:b/>
          <w:sz w:val="32"/>
          <w:szCs w:val="32"/>
        </w:rPr>
        <w:t>基础设施基金可以采用询价交易方式，什么是询价交易？</w:t>
      </w:r>
    </w:p>
    <w:p w:rsidR="000B4DBE" w:rsidRDefault="000B4DBE" w:rsidP="000B4DBE">
      <w:pPr>
        <w:ind w:firstLineChars="200" w:firstLine="640"/>
        <w:rPr>
          <w:rFonts w:ascii="仿宋" w:eastAsia="仿宋" w:hAnsi="仿宋"/>
          <w:sz w:val="32"/>
          <w:szCs w:val="32"/>
        </w:rPr>
      </w:pPr>
      <w:r>
        <w:rPr>
          <w:rFonts w:ascii="仿宋" w:eastAsia="仿宋" w:hAnsi="仿宋" w:hint="eastAsia"/>
          <w:sz w:val="32"/>
          <w:szCs w:val="32"/>
        </w:rPr>
        <w:t>询价交易是指投资者作为询价方向被询价方发送询价请求，被询价方针对询价请求进行回复，询价方选择一个或多个询价回复确认成交的交易方式。</w:t>
      </w:r>
    </w:p>
    <w:p w:rsidR="000B4DBE" w:rsidRPr="00C50085" w:rsidRDefault="00DF71D2" w:rsidP="0000396A">
      <w:pPr>
        <w:pStyle w:val="a9"/>
        <w:numPr>
          <w:ilvl w:val="0"/>
          <w:numId w:val="2"/>
        </w:numPr>
        <w:ind w:firstLineChars="0"/>
        <w:outlineLvl w:val="1"/>
        <w:rPr>
          <w:rFonts w:ascii="仿宋" w:eastAsia="仿宋" w:hAnsi="仿宋"/>
          <w:b/>
          <w:sz w:val="32"/>
          <w:szCs w:val="32"/>
        </w:rPr>
      </w:pPr>
      <w:r w:rsidRPr="00C50085">
        <w:rPr>
          <w:rFonts w:ascii="仿宋" w:eastAsia="仿宋" w:hAnsi="仿宋" w:hint="eastAsia"/>
          <w:b/>
          <w:sz w:val="32"/>
          <w:szCs w:val="32"/>
        </w:rPr>
        <w:t>基础设施基金参与回购业务应</w:t>
      </w:r>
      <w:r>
        <w:rPr>
          <w:rFonts w:ascii="仿宋" w:eastAsia="仿宋" w:hAnsi="仿宋" w:hint="eastAsia"/>
          <w:b/>
          <w:sz w:val="32"/>
          <w:szCs w:val="32"/>
        </w:rPr>
        <w:t>符合什么</w:t>
      </w:r>
      <w:r w:rsidRPr="00C50085">
        <w:rPr>
          <w:rFonts w:ascii="仿宋" w:eastAsia="仿宋" w:hAnsi="仿宋" w:hint="eastAsia"/>
          <w:b/>
          <w:sz w:val="32"/>
          <w:szCs w:val="32"/>
        </w:rPr>
        <w:t>规定</w:t>
      </w:r>
      <w:r w:rsidR="000B4DBE" w:rsidRPr="00C50085">
        <w:rPr>
          <w:rFonts w:ascii="仿宋" w:eastAsia="仿宋" w:hAnsi="仿宋" w:hint="eastAsia"/>
          <w:b/>
          <w:sz w:val="32"/>
          <w:szCs w:val="32"/>
        </w:rPr>
        <w:t>？</w:t>
      </w:r>
    </w:p>
    <w:p w:rsidR="000B4DBE" w:rsidRDefault="000B4DBE" w:rsidP="000B4DBE">
      <w:pPr>
        <w:ind w:firstLineChars="200" w:firstLine="640"/>
        <w:rPr>
          <w:rFonts w:ascii="仿宋" w:eastAsia="仿宋" w:hAnsi="仿宋"/>
          <w:sz w:val="32"/>
          <w:szCs w:val="32"/>
        </w:rPr>
      </w:pPr>
      <w:r>
        <w:rPr>
          <w:rFonts w:ascii="仿宋" w:eastAsia="仿宋" w:hAnsi="仿宋"/>
          <w:sz w:val="32"/>
          <w:szCs w:val="32"/>
        </w:rPr>
        <w:t>基础设施基金可作为质押券按照</w:t>
      </w:r>
      <w:r>
        <w:rPr>
          <w:rFonts w:ascii="仿宋" w:eastAsia="仿宋" w:hAnsi="仿宋" w:hint="eastAsia"/>
          <w:sz w:val="32"/>
          <w:szCs w:val="32"/>
        </w:rPr>
        <w:t>深交所规定参与质押式协议回购、质押式三方回购等业务。</w:t>
      </w:r>
      <w:r>
        <w:rPr>
          <w:rFonts w:ascii="仿宋" w:eastAsia="仿宋" w:hAnsi="仿宋"/>
          <w:sz w:val="32"/>
          <w:szCs w:val="32"/>
        </w:rPr>
        <w:t xml:space="preserve"> </w:t>
      </w:r>
    </w:p>
    <w:p w:rsidR="000B4DBE" w:rsidRDefault="000B4DBE" w:rsidP="000B4DBE">
      <w:pPr>
        <w:ind w:firstLineChars="200" w:firstLine="640"/>
        <w:rPr>
          <w:rFonts w:ascii="仿宋" w:eastAsia="仿宋" w:hAnsi="仿宋"/>
          <w:sz w:val="32"/>
          <w:szCs w:val="32"/>
        </w:rPr>
      </w:pPr>
      <w:r>
        <w:rPr>
          <w:rFonts w:ascii="仿宋" w:eastAsia="仿宋" w:hAnsi="仿宋" w:hint="eastAsia"/>
          <w:sz w:val="32"/>
          <w:szCs w:val="32"/>
        </w:rPr>
        <w:t>原始权益人或其同一控制下的关联方在限售届满后参与上述业务的，质押的战略配售取得的基础设施基金份额累计不得超过其所持全部该类份额的</w:t>
      </w:r>
      <w:r>
        <w:rPr>
          <w:rFonts w:ascii="仿宋" w:eastAsia="仿宋" w:hAnsi="仿宋"/>
          <w:sz w:val="32"/>
          <w:szCs w:val="32"/>
        </w:rPr>
        <w:t>50%，</w:t>
      </w:r>
      <w:r>
        <w:rPr>
          <w:rFonts w:ascii="仿宋" w:eastAsia="仿宋" w:hAnsi="仿宋" w:hint="eastAsia"/>
          <w:sz w:val="32"/>
          <w:szCs w:val="32"/>
        </w:rPr>
        <w:t>深交所</w:t>
      </w:r>
      <w:r>
        <w:rPr>
          <w:rFonts w:ascii="仿宋" w:eastAsia="仿宋" w:hAnsi="仿宋"/>
          <w:sz w:val="32"/>
          <w:szCs w:val="32"/>
        </w:rPr>
        <w:t>另有规定除外。</w:t>
      </w:r>
    </w:p>
    <w:p w:rsidR="000B4DBE" w:rsidRPr="00793BF7" w:rsidRDefault="000B4DBE" w:rsidP="0000396A">
      <w:pPr>
        <w:pStyle w:val="a9"/>
        <w:numPr>
          <w:ilvl w:val="0"/>
          <w:numId w:val="2"/>
        </w:numPr>
        <w:ind w:firstLineChars="0"/>
        <w:outlineLvl w:val="1"/>
        <w:rPr>
          <w:rFonts w:ascii="仿宋" w:eastAsia="仿宋" w:hAnsi="仿宋"/>
          <w:b/>
          <w:sz w:val="32"/>
          <w:szCs w:val="32"/>
        </w:rPr>
      </w:pPr>
      <w:r w:rsidRPr="00793BF7">
        <w:rPr>
          <w:rFonts w:ascii="仿宋" w:eastAsia="仿宋" w:hAnsi="仿宋" w:hint="eastAsia"/>
          <w:b/>
          <w:sz w:val="32"/>
          <w:szCs w:val="32"/>
        </w:rPr>
        <w:t>基础设施基金流动性服务业务安排是怎样的？</w:t>
      </w:r>
    </w:p>
    <w:p w:rsidR="000B4DBE" w:rsidRDefault="000B4DBE" w:rsidP="000B4DBE">
      <w:pPr>
        <w:ind w:firstLineChars="200" w:firstLine="640"/>
        <w:rPr>
          <w:rFonts w:ascii="仿宋" w:eastAsia="仿宋" w:hAnsi="仿宋"/>
          <w:sz w:val="32"/>
          <w:szCs w:val="32"/>
        </w:rPr>
      </w:pPr>
      <w:r w:rsidRPr="00707DF7">
        <w:rPr>
          <w:rFonts w:ascii="仿宋" w:eastAsia="仿宋" w:hAnsi="仿宋" w:hint="eastAsia"/>
          <w:sz w:val="32"/>
          <w:szCs w:val="32"/>
        </w:rPr>
        <w:t>基础设施基金上市期间，基金管理人原则上应当选定不</w:t>
      </w:r>
      <w:r w:rsidRPr="00707DF7">
        <w:rPr>
          <w:rFonts w:ascii="仿宋" w:eastAsia="仿宋" w:hAnsi="仿宋" w:hint="eastAsia"/>
          <w:sz w:val="32"/>
          <w:szCs w:val="32"/>
        </w:rPr>
        <w:lastRenderedPageBreak/>
        <w:t>少于1家流动性服务商为基础设施基金提供双边报价等服务。</w:t>
      </w:r>
    </w:p>
    <w:p w:rsidR="000B4DBE" w:rsidRDefault="000B4DBE" w:rsidP="000B4DBE">
      <w:pPr>
        <w:ind w:firstLine="640"/>
        <w:rPr>
          <w:rFonts w:ascii="仿宋" w:eastAsia="仿宋" w:hAnsi="仿宋"/>
          <w:sz w:val="32"/>
          <w:szCs w:val="32"/>
        </w:rPr>
      </w:pPr>
      <w:r w:rsidRPr="00707DF7">
        <w:rPr>
          <w:rFonts w:ascii="仿宋" w:eastAsia="仿宋" w:hAnsi="仿宋" w:hint="eastAsia"/>
          <w:sz w:val="32"/>
          <w:szCs w:val="32"/>
        </w:rPr>
        <w:t>基础设施基金管理人及流动性服务商开展基金流动性</w:t>
      </w:r>
      <w:r>
        <w:rPr>
          <w:rFonts w:ascii="仿宋" w:eastAsia="仿宋" w:hAnsi="仿宋" w:hint="eastAsia"/>
          <w:sz w:val="32"/>
          <w:szCs w:val="32"/>
        </w:rPr>
        <w:t>服务业务，按照</w:t>
      </w:r>
      <w:r w:rsidRPr="00707DF7">
        <w:rPr>
          <w:rFonts w:ascii="仿宋" w:eastAsia="仿宋" w:hAnsi="仿宋" w:hint="eastAsia"/>
          <w:sz w:val="32"/>
          <w:szCs w:val="32"/>
        </w:rPr>
        <w:t>《</w:t>
      </w:r>
      <w:r>
        <w:rPr>
          <w:rFonts w:ascii="仿宋" w:eastAsia="仿宋" w:hAnsi="仿宋" w:hint="eastAsia"/>
          <w:sz w:val="32"/>
          <w:szCs w:val="32"/>
        </w:rPr>
        <w:t>深圳证券交易所证券投资</w:t>
      </w:r>
      <w:r w:rsidRPr="00707DF7">
        <w:rPr>
          <w:rFonts w:ascii="仿宋" w:eastAsia="仿宋" w:hAnsi="仿宋" w:hint="eastAsia"/>
          <w:sz w:val="32"/>
          <w:szCs w:val="32"/>
        </w:rPr>
        <w:t>基金流动性服务业务指引》及其他相关规定执行。</w:t>
      </w:r>
    </w:p>
    <w:p w:rsidR="000B4DBE" w:rsidRPr="00793BF7" w:rsidRDefault="000B4DBE" w:rsidP="0000396A">
      <w:pPr>
        <w:pStyle w:val="a9"/>
        <w:numPr>
          <w:ilvl w:val="0"/>
          <w:numId w:val="2"/>
        </w:numPr>
        <w:ind w:firstLineChars="0"/>
        <w:outlineLvl w:val="1"/>
        <w:rPr>
          <w:rFonts w:ascii="仿宋" w:eastAsia="仿宋" w:hAnsi="仿宋"/>
          <w:b/>
          <w:sz w:val="32"/>
          <w:szCs w:val="32"/>
        </w:rPr>
      </w:pPr>
      <w:r w:rsidRPr="00793BF7">
        <w:rPr>
          <w:rFonts w:ascii="仿宋" w:eastAsia="仿宋" w:hAnsi="仿宋" w:hint="eastAsia"/>
          <w:b/>
          <w:sz w:val="32"/>
          <w:szCs w:val="32"/>
        </w:rPr>
        <w:t>基础设施基金交易信息通过什么渠道披露？</w:t>
      </w:r>
    </w:p>
    <w:p w:rsidR="000B4DBE" w:rsidRPr="00BE2121" w:rsidRDefault="000B4DBE" w:rsidP="000B4DBE">
      <w:pPr>
        <w:ind w:firstLine="640"/>
        <w:rPr>
          <w:rFonts w:ascii="仿宋" w:eastAsia="仿宋" w:hAnsi="仿宋"/>
          <w:sz w:val="32"/>
          <w:szCs w:val="32"/>
        </w:rPr>
      </w:pPr>
      <w:r>
        <w:rPr>
          <w:rFonts w:ascii="仿宋" w:eastAsia="仿宋" w:hAnsi="仿宋" w:hint="eastAsia"/>
          <w:sz w:val="32"/>
          <w:szCs w:val="32"/>
        </w:rPr>
        <w:t>深交所</w:t>
      </w:r>
      <w:r w:rsidRPr="005214B6">
        <w:rPr>
          <w:rFonts w:ascii="仿宋" w:eastAsia="仿宋" w:hAnsi="仿宋" w:hint="eastAsia"/>
          <w:sz w:val="32"/>
          <w:szCs w:val="32"/>
        </w:rPr>
        <w:t>在交易时间内通过交易系统或交易所网站即时公布基础设施基金</w:t>
      </w:r>
      <w:r w:rsidR="00DF71D2">
        <w:rPr>
          <w:rFonts w:ascii="仿宋" w:eastAsia="仿宋" w:hAnsi="仿宋" w:hint="eastAsia"/>
          <w:sz w:val="32"/>
          <w:szCs w:val="32"/>
        </w:rPr>
        <w:t>的</w:t>
      </w:r>
      <w:r w:rsidRPr="005214B6">
        <w:rPr>
          <w:rFonts w:ascii="仿宋" w:eastAsia="仿宋" w:hAnsi="仿宋" w:hint="eastAsia"/>
          <w:sz w:val="32"/>
          <w:szCs w:val="32"/>
        </w:rPr>
        <w:t>证券代码、证券简称、买卖方向、数量、价格等</w:t>
      </w:r>
      <w:r w:rsidR="00DF71D2">
        <w:rPr>
          <w:rFonts w:ascii="仿宋" w:eastAsia="仿宋" w:hAnsi="仿宋" w:hint="eastAsia"/>
          <w:sz w:val="32"/>
          <w:szCs w:val="32"/>
        </w:rPr>
        <w:t>信息</w:t>
      </w:r>
      <w:r w:rsidRPr="005214B6">
        <w:rPr>
          <w:rFonts w:ascii="仿宋" w:eastAsia="仿宋" w:hAnsi="仿宋" w:hint="eastAsia"/>
          <w:sz w:val="32"/>
          <w:szCs w:val="32"/>
        </w:rPr>
        <w:t>。</w:t>
      </w:r>
    </w:p>
    <w:p w:rsidR="000B4DBE" w:rsidRPr="00793BF7" w:rsidRDefault="000B4DBE" w:rsidP="0000396A">
      <w:pPr>
        <w:pStyle w:val="a9"/>
        <w:numPr>
          <w:ilvl w:val="0"/>
          <w:numId w:val="2"/>
        </w:numPr>
        <w:ind w:firstLineChars="0"/>
        <w:outlineLvl w:val="1"/>
        <w:rPr>
          <w:rFonts w:ascii="仿宋" w:eastAsia="仿宋" w:hAnsi="仿宋"/>
          <w:b/>
          <w:sz w:val="32"/>
          <w:szCs w:val="32"/>
        </w:rPr>
      </w:pPr>
      <w:r w:rsidRPr="00793BF7">
        <w:rPr>
          <w:rFonts w:ascii="仿宋" w:eastAsia="仿宋" w:hAnsi="仿宋" w:hint="eastAsia"/>
          <w:b/>
          <w:sz w:val="32"/>
          <w:szCs w:val="32"/>
        </w:rPr>
        <w:t>投资者交易基础设施基金前是否需签署风险揭示书？</w:t>
      </w:r>
    </w:p>
    <w:p w:rsidR="000B4DBE" w:rsidRDefault="000B4DBE" w:rsidP="0000396A">
      <w:pPr>
        <w:ind w:firstLine="640"/>
        <w:rPr>
          <w:rFonts w:ascii="仿宋" w:eastAsia="仿宋" w:hAnsi="仿宋"/>
          <w:sz w:val="32"/>
          <w:szCs w:val="32"/>
        </w:rPr>
      </w:pPr>
      <w:r w:rsidRPr="00DB0225">
        <w:rPr>
          <w:rFonts w:ascii="仿宋" w:eastAsia="仿宋" w:hAnsi="仿宋" w:hint="eastAsia"/>
          <w:sz w:val="32"/>
          <w:szCs w:val="32"/>
        </w:rPr>
        <w:t>普通投资者首次认购或买入基础设施基金份额前，应当以纸质或者电子形式签署风险揭示书，确认</w:t>
      </w:r>
      <w:r>
        <w:rPr>
          <w:rFonts w:ascii="仿宋" w:eastAsia="仿宋" w:hAnsi="仿宋" w:hint="eastAsia"/>
          <w:sz w:val="32"/>
          <w:szCs w:val="32"/>
        </w:rPr>
        <w:t>已</w:t>
      </w:r>
      <w:r w:rsidRPr="00DB0225">
        <w:rPr>
          <w:rFonts w:ascii="仿宋" w:eastAsia="仿宋" w:hAnsi="仿宋" w:hint="eastAsia"/>
          <w:sz w:val="32"/>
          <w:szCs w:val="32"/>
        </w:rPr>
        <w:t>了解基础设施基金产品特征及主要风险。</w:t>
      </w:r>
    </w:p>
    <w:p w:rsidR="000B4DBE" w:rsidRDefault="000B4DBE" w:rsidP="0000396A">
      <w:pPr>
        <w:ind w:firstLine="640"/>
        <w:rPr>
          <w:rFonts w:ascii="仿宋" w:eastAsia="仿宋" w:hAnsi="仿宋"/>
          <w:sz w:val="32"/>
          <w:szCs w:val="32"/>
        </w:rPr>
      </w:pPr>
    </w:p>
    <w:p w:rsidR="003A1B1B" w:rsidRPr="003A1B1B" w:rsidRDefault="000B4DBE" w:rsidP="003A1B1B">
      <w:pPr>
        <w:rPr>
          <w:rFonts w:ascii="仿宋" w:eastAsia="仿宋" w:hAnsi="仿宋"/>
          <w:sz w:val="32"/>
          <w:szCs w:val="32"/>
        </w:rPr>
      </w:pPr>
      <w:r w:rsidRPr="00793BF7">
        <w:rPr>
          <w:rFonts w:ascii="仿宋" w:eastAsia="仿宋" w:hAnsi="仿宋" w:hint="eastAsia"/>
          <w:sz w:val="32"/>
          <w:szCs w:val="32"/>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bookmarkEnd w:id="0"/>
    </w:p>
    <w:sectPr w:rsidR="003A1B1B" w:rsidRPr="003A1B1B">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F31159" w15:done="0"/>
  <w15:commentEx w15:paraId="7B00613F" w15:done="0"/>
  <w15:commentEx w15:paraId="558F6605" w15:done="0" w15:paraIdParent="7B00613F"/>
  <w15:commentEx w15:paraId="7A3B3163" w15:done="0"/>
  <w15:commentEx w15:paraId="2B0743B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B3B04"/>
    <w:multiLevelType w:val="multilevel"/>
    <w:tmpl w:val="50FA5156"/>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0FA5156"/>
    <w:multiLevelType w:val="multilevel"/>
    <w:tmpl w:val="50FA5156"/>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chen">
    <w15:presenceInfo w15:providerId="None" w15:userId="nchen"/>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71"/>
    <w:rsid w:val="0000396A"/>
    <w:rsid w:val="0002182F"/>
    <w:rsid w:val="00022738"/>
    <w:rsid w:val="00047E2E"/>
    <w:rsid w:val="00084B37"/>
    <w:rsid w:val="000B4DBE"/>
    <w:rsid w:val="000E6B2A"/>
    <w:rsid w:val="001619FD"/>
    <w:rsid w:val="001639FC"/>
    <w:rsid w:val="0016462A"/>
    <w:rsid w:val="001A7EC9"/>
    <w:rsid w:val="001F1171"/>
    <w:rsid w:val="00234E7E"/>
    <w:rsid w:val="003024A8"/>
    <w:rsid w:val="003429A2"/>
    <w:rsid w:val="00342F91"/>
    <w:rsid w:val="00361191"/>
    <w:rsid w:val="00376E5D"/>
    <w:rsid w:val="003A1B1B"/>
    <w:rsid w:val="003B1E05"/>
    <w:rsid w:val="00430C33"/>
    <w:rsid w:val="004341CB"/>
    <w:rsid w:val="00485BA9"/>
    <w:rsid w:val="00495220"/>
    <w:rsid w:val="004B24D0"/>
    <w:rsid w:val="004D4148"/>
    <w:rsid w:val="004F7554"/>
    <w:rsid w:val="005176D8"/>
    <w:rsid w:val="005411AE"/>
    <w:rsid w:val="005454E4"/>
    <w:rsid w:val="00551E5F"/>
    <w:rsid w:val="00560DB3"/>
    <w:rsid w:val="005810F4"/>
    <w:rsid w:val="00584A85"/>
    <w:rsid w:val="005B5BC7"/>
    <w:rsid w:val="005C72C4"/>
    <w:rsid w:val="0060684C"/>
    <w:rsid w:val="006E5928"/>
    <w:rsid w:val="00781EBE"/>
    <w:rsid w:val="00792604"/>
    <w:rsid w:val="007C26E1"/>
    <w:rsid w:val="007E268C"/>
    <w:rsid w:val="00801085"/>
    <w:rsid w:val="00855E7A"/>
    <w:rsid w:val="00883B45"/>
    <w:rsid w:val="00891C6E"/>
    <w:rsid w:val="008929B1"/>
    <w:rsid w:val="008A455B"/>
    <w:rsid w:val="00903568"/>
    <w:rsid w:val="00A14161"/>
    <w:rsid w:val="00A7632A"/>
    <w:rsid w:val="00A84E48"/>
    <w:rsid w:val="00AB4B27"/>
    <w:rsid w:val="00AD4244"/>
    <w:rsid w:val="00AE2E5E"/>
    <w:rsid w:val="00AE66B9"/>
    <w:rsid w:val="00BB37DB"/>
    <w:rsid w:val="00C34A2F"/>
    <w:rsid w:val="00C735E0"/>
    <w:rsid w:val="00C87662"/>
    <w:rsid w:val="00CB49B7"/>
    <w:rsid w:val="00D54C00"/>
    <w:rsid w:val="00DF71D2"/>
    <w:rsid w:val="00E1194F"/>
    <w:rsid w:val="00E17156"/>
    <w:rsid w:val="00E82744"/>
    <w:rsid w:val="00ED130A"/>
    <w:rsid w:val="00F2448C"/>
    <w:rsid w:val="00F81BF4"/>
    <w:rsid w:val="00F94155"/>
    <w:rsid w:val="00FF6CE9"/>
    <w:rsid w:val="0362661F"/>
    <w:rsid w:val="1F4A737D"/>
    <w:rsid w:val="2FA51576"/>
    <w:rsid w:val="35FD199C"/>
    <w:rsid w:val="64C0028D"/>
    <w:rsid w:val="77A94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paragraph" w:styleId="a9">
    <w:name w:val="List Paragraph"/>
    <w:basedOn w:val="a"/>
    <w:link w:val="Char4"/>
    <w:uiPriority w:val="1"/>
    <w:qFormat/>
    <w:pPr>
      <w:ind w:firstLineChars="200" w:firstLine="420"/>
    </w:pPr>
  </w:style>
  <w:style w:type="character" w:customStyle="1" w:styleId="Char4">
    <w:name w:val="列出段落 Char"/>
    <w:link w:val="a9"/>
    <w:uiPriority w:val="34"/>
    <w:qFormat/>
  </w:style>
  <w:style w:type="character" w:customStyle="1" w:styleId="Char0">
    <w:name w:val="批注框文本 Char"/>
    <w:basedOn w:val="a0"/>
    <w:link w:val="a4"/>
    <w:uiPriority w:val="99"/>
    <w:semiHidden/>
    <w:qFormat/>
    <w:rPr>
      <w:sz w:val="18"/>
      <w:szCs w:val="18"/>
    </w:rPr>
  </w:style>
  <w:style w:type="character" w:customStyle="1" w:styleId="Char3">
    <w:name w:val="批注主题 Char"/>
    <w:basedOn w:val="Char"/>
    <w:link w:val="a7"/>
    <w:uiPriority w:val="99"/>
    <w:semiHidden/>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paragraph" w:styleId="a9">
    <w:name w:val="List Paragraph"/>
    <w:basedOn w:val="a"/>
    <w:link w:val="Char4"/>
    <w:uiPriority w:val="1"/>
    <w:qFormat/>
    <w:pPr>
      <w:ind w:firstLineChars="200" w:firstLine="420"/>
    </w:pPr>
  </w:style>
  <w:style w:type="character" w:customStyle="1" w:styleId="Char4">
    <w:name w:val="列出段落 Char"/>
    <w:link w:val="a9"/>
    <w:uiPriority w:val="34"/>
    <w:qFormat/>
  </w:style>
  <w:style w:type="character" w:customStyle="1" w:styleId="Char0">
    <w:name w:val="批注框文本 Char"/>
    <w:basedOn w:val="a0"/>
    <w:link w:val="a4"/>
    <w:uiPriority w:val="99"/>
    <w:semiHidden/>
    <w:qFormat/>
    <w:rPr>
      <w:sz w:val="18"/>
      <w:szCs w:val="18"/>
    </w:rPr>
  </w:style>
  <w:style w:type="character" w:customStyle="1" w:styleId="Char3">
    <w:name w:val="批注主题 Char"/>
    <w:basedOn w:val="Char"/>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9F46-E1AB-4280-842B-9CFCF2FD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0B41CF-906A-4864-93C7-8B2CA60F31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3B21C-012F-4A1A-BA2C-CA8B872882A0}">
  <ds:schemaRefs>
    <ds:schemaRef ds:uri="http://schemas.microsoft.com/sharepoint/v3/contenttype/forms"/>
  </ds:schemaRefs>
</ds:datastoreItem>
</file>

<file path=customXml/itemProps5.xml><?xml version="1.0" encoding="utf-8"?>
<ds:datastoreItem xmlns:ds="http://schemas.openxmlformats.org/officeDocument/2006/customXml" ds:itemID="{1BE8DE6B-5B5E-43A8-B700-9AEB8A76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陈洁</cp:lastModifiedBy>
  <cp:revision>16</cp:revision>
  <dcterms:created xsi:type="dcterms:W3CDTF">2021-03-02T06:17:00Z</dcterms:created>
  <dcterms:modified xsi:type="dcterms:W3CDTF">2021-04-07T02:47:00Z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ContentTypeId">
    <vt:lpwstr>0x0101008A1CD0ACEFB685468ADC9D3ECFE50AA2</vt:lpwstr>
  </property>
</Properties>
</file>